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50968" w14:textId="77777777" w:rsidR="003945DD" w:rsidRDefault="00CD7F94">
      <w:pPr>
        <w:spacing w:after="0" w:line="240" w:lineRule="auto"/>
        <w:rPr>
          <w:rFonts w:ascii="Arial" w:hAnsi="Arial" w:cs="Arial"/>
          <w:sz w:val="32"/>
          <w:szCs w:val="32"/>
        </w:rPr>
      </w:pPr>
      <w:r>
        <w:rPr>
          <w:rFonts w:ascii="Arial" w:hAnsi="Arial" w:cs="Arial"/>
          <w:b/>
          <w:bCs/>
          <w:noProof/>
          <w:lang w:eastAsia="es-MX"/>
        </w:rPr>
        <w:drawing>
          <wp:anchor distT="0" distB="0" distL="114300" distR="114300" simplePos="0" relativeHeight="251666432" behindDoc="1" locked="0" layoutInCell="1" allowOverlap="1" wp14:anchorId="5A04E4EB" wp14:editId="302A27E5">
            <wp:simplePos x="0" y="0"/>
            <wp:positionH relativeFrom="column">
              <wp:posOffset>-1186180</wp:posOffset>
            </wp:positionH>
            <wp:positionV relativeFrom="paragraph">
              <wp:posOffset>-1346835</wp:posOffset>
            </wp:positionV>
            <wp:extent cx="7827645" cy="101295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7827645" cy="10129520"/>
                    </a:xfrm>
                    <a:prstGeom prst="rect">
                      <a:avLst/>
                    </a:prstGeom>
                    <a:noFill/>
                    <a:ln>
                      <a:noFill/>
                    </a:ln>
                  </pic:spPr>
                </pic:pic>
              </a:graphicData>
            </a:graphic>
          </wp:anchor>
        </w:drawing>
      </w:r>
    </w:p>
    <w:p w14:paraId="4356CDA5" w14:textId="77777777" w:rsidR="003945DD" w:rsidRDefault="003945DD">
      <w:pPr>
        <w:rPr>
          <w:rFonts w:asciiTheme="majorHAnsi" w:hAnsiTheme="majorHAnsi" w:cstheme="majorHAnsi"/>
          <w:b/>
          <w:bCs/>
          <w:color w:val="12545C"/>
          <w:sz w:val="44"/>
          <w:szCs w:val="44"/>
        </w:rPr>
      </w:pPr>
    </w:p>
    <w:p w14:paraId="741C1E50" w14:textId="77777777" w:rsidR="003945DD" w:rsidRDefault="00CD7F94">
      <w:pPr>
        <w:rPr>
          <w:rFonts w:ascii="Arial" w:hAnsi="Arial" w:cs="Arial"/>
          <w:color w:val="12545C"/>
          <w:sz w:val="44"/>
          <w:szCs w:val="44"/>
        </w:rPr>
      </w:pPr>
      <w:r>
        <w:rPr>
          <w:rFonts w:ascii="Arial" w:hAnsi="Arial" w:cs="Arial"/>
          <w:b/>
          <w:bCs/>
          <w:color w:val="12545C"/>
          <w:sz w:val="44"/>
          <w:szCs w:val="44"/>
        </w:rPr>
        <w:t>6</w:t>
      </w:r>
      <w:r>
        <w:rPr>
          <w:rFonts w:ascii="Arial" w:hAnsi="Arial" w:cs="Arial"/>
          <w:color w:val="12545C"/>
          <w:sz w:val="44"/>
          <w:szCs w:val="44"/>
        </w:rPr>
        <w:t>°</w:t>
      </w:r>
      <w:r w:rsidR="00F662F8">
        <w:rPr>
          <w:rFonts w:ascii="Arial" w:hAnsi="Arial" w:cs="Arial"/>
          <w:color w:val="12545C"/>
          <w:sz w:val="44"/>
          <w:szCs w:val="44"/>
        </w:rPr>
        <w:t xml:space="preserve"> </w:t>
      </w:r>
      <w:r>
        <w:rPr>
          <w:rFonts w:ascii="Arial" w:hAnsi="Arial" w:cs="Arial"/>
          <w:color w:val="12545C"/>
          <w:sz w:val="44"/>
          <w:szCs w:val="44"/>
        </w:rPr>
        <w:t>semestre</w:t>
      </w:r>
    </w:p>
    <w:p w14:paraId="75C3C810" w14:textId="77777777" w:rsidR="003945DD" w:rsidRDefault="003945DD">
      <w:pPr>
        <w:ind w:left="1044"/>
        <w:rPr>
          <w:rFonts w:ascii="Arial" w:hAnsi="Arial" w:cs="Arial"/>
          <w:color w:val="12545C"/>
          <w:sz w:val="44"/>
          <w:szCs w:val="44"/>
        </w:rPr>
      </w:pPr>
    </w:p>
    <w:p w14:paraId="72DF0851" w14:textId="77777777" w:rsidR="003945DD" w:rsidRDefault="00F662F8">
      <w:pPr>
        <w:rPr>
          <w:rFonts w:ascii="Arial" w:hAnsi="Arial" w:cs="Arial"/>
          <w:color w:val="12545C"/>
          <w:sz w:val="44"/>
          <w:szCs w:val="44"/>
        </w:rPr>
      </w:pPr>
      <w:r>
        <w:rPr>
          <w:rFonts w:ascii="Arial" w:hAnsi="Arial" w:cs="Arial"/>
          <w:color w:val="12545C"/>
          <w:sz w:val="44"/>
          <w:szCs w:val="44"/>
        </w:rPr>
        <w:t>Módulo 18</w:t>
      </w:r>
      <w:r w:rsidR="00CD7F94">
        <w:rPr>
          <w:rFonts w:ascii="Arial" w:hAnsi="Arial" w:cs="Arial"/>
          <w:color w:val="12545C"/>
          <w:sz w:val="44"/>
          <w:szCs w:val="44"/>
        </w:rPr>
        <w:t xml:space="preserve"> </w:t>
      </w:r>
    </w:p>
    <w:p w14:paraId="714F0B07" w14:textId="77777777" w:rsidR="003945DD" w:rsidRDefault="00CD7F94" w:rsidP="006749C2">
      <w:pPr>
        <w:rPr>
          <w:rFonts w:ascii="Arial" w:hAnsi="Arial" w:cs="Arial"/>
          <w:b/>
          <w:color w:val="12545C"/>
          <w:sz w:val="44"/>
          <w:szCs w:val="44"/>
        </w:rPr>
      </w:pPr>
      <w:r>
        <w:rPr>
          <w:rFonts w:ascii="Arial" w:hAnsi="Arial" w:cs="Arial"/>
          <w:b/>
          <w:color w:val="12545C"/>
          <w:sz w:val="44"/>
          <w:szCs w:val="44"/>
        </w:rPr>
        <w:t>Auditoría Gubernamental</w:t>
      </w:r>
    </w:p>
    <w:p w14:paraId="0066F246" w14:textId="77777777" w:rsidR="003945DD" w:rsidRDefault="003945DD">
      <w:pPr>
        <w:ind w:left="1080"/>
        <w:rPr>
          <w:rFonts w:ascii="Arial" w:hAnsi="Arial" w:cs="Arial"/>
          <w:color w:val="12545C"/>
          <w:sz w:val="44"/>
          <w:szCs w:val="44"/>
        </w:rPr>
      </w:pPr>
    </w:p>
    <w:p w14:paraId="08691C1C" w14:textId="77777777" w:rsidR="003945DD" w:rsidRDefault="00F662F8" w:rsidP="006749C2">
      <w:pPr>
        <w:rPr>
          <w:rFonts w:ascii="Arial" w:hAnsi="Arial" w:cs="Arial"/>
          <w:color w:val="12545C"/>
          <w:sz w:val="44"/>
          <w:szCs w:val="44"/>
        </w:rPr>
      </w:pPr>
      <w:r>
        <w:rPr>
          <w:rFonts w:ascii="Arial" w:hAnsi="Arial" w:cs="Arial"/>
          <w:color w:val="12545C"/>
          <w:sz w:val="44"/>
          <w:szCs w:val="44"/>
        </w:rPr>
        <w:t>Unidad 1</w:t>
      </w:r>
    </w:p>
    <w:p w14:paraId="436805E3" w14:textId="77777777" w:rsidR="003945DD" w:rsidRDefault="00CD7F94" w:rsidP="006749C2">
      <w:pPr>
        <w:rPr>
          <w:rFonts w:ascii="Arial" w:hAnsi="Arial" w:cs="Arial"/>
          <w:b/>
          <w:bCs/>
          <w:color w:val="12545C"/>
          <w:sz w:val="44"/>
          <w:szCs w:val="44"/>
        </w:rPr>
      </w:pPr>
      <w:r>
        <w:rPr>
          <w:rFonts w:ascii="Arial" w:hAnsi="Arial" w:cs="Arial"/>
          <w:b/>
          <w:bCs/>
          <w:color w:val="12545C"/>
          <w:sz w:val="44"/>
          <w:szCs w:val="44"/>
        </w:rPr>
        <w:t>La auditoría y su planeación</w:t>
      </w:r>
    </w:p>
    <w:p w14:paraId="08B6A1A9" w14:textId="77777777" w:rsidR="003945DD" w:rsidRDefault="00CD7F94">
      <w:pPr>
        <w:ind w:left="1080"/>
        <w:rPr>
          <w:rFonts w:ascii="Arial" w:hAnsi="Arial" w:cs="Arial"/>
          <w:color w:val="12545C"/>
          <w:sz w:val="44"/>
          <w:szCs w:val="44"/>
        </w:rPr>
      </w:pPr>
      <w:r>
        <w:rPr>
          <w:rFonts w:ascii="Arial" w:hAnsi="Arial" w:cs="Arial"/>
          <w:color w:val="12545C"/>
          <w:sz w:val="44"/>
          <w:szCs w:val="44"/>
        </w:rPr>
        <w:t xml:space="preserve"> </w:t>
      </w:r>
    </w:p>
    <w:p w14:paraId="61649088" w14:textId="3918A97E" w:rsidR="003945DD" w:rsidRDefault="00C30D29">
      <w:pPr>
        <w:rPr>
          <w:rFonts w:ascii="Arial" w:hAnsi="Arial" w:cs="Arial"/>
          <w:bCs/>
          <w:color w:val="12545C"/>
          <w:sz w:val="44"/>
          <w:szCs w:val="44"/>
        </w:rPr>
      </w:pPr>
      <w:r>
        <w:rPr>
          <w:rFonts w:ascii="Arial" w:hAnsi="Arial" w:cs="Arial"/>
          <w:bCs/>
          <w:color w:val="12545C"/>
          <w:sz w:val="44"/>
          <w:szCs w:val="44"/>
        </w:rPr>
        <w:t>Estudio de caso</w:t>
      </w:r>
    </w:p>
    <w:p w14:paraId="6A099DD3" w14:textId="77777777" w:rsidR="003945DD" w:rsidRPr="006749C2" w:rsidRDefault="00CD7F94">
      <w:pPr>
        <w:rPr>
          <w:rFonts w:ascii="Arial" w:hAnsi="Arial" w:cs="Arial"/>
          <w:b/>
          <w:color w:val="12545C"/>
          <w:sz w:val="44"/>
          <w:szCs w:val="44"/>
        </w:rPr>
      </w:pPr>
      <w:r>
        <w:rPr>
          <w:rFonts w:ascii="Arial" w:hAnsi="Arial" w:cs="Arial"/>
          <w:b/>
          <w:color w:val="12545C"/>
          <w:sz w:val="44"/>
          <w:szCs w:val="44"/>
        </w:rPr>
        <w:t>Plan de auditoría</w:t>
      </w:r>
    </w:p>
    <w:p w14:paraId="0DF8A17D" w14:textId="77777777" w:rsidR="003945DD" w:rsidRDefault="003945DD">
      <w:pPr>
        <w:tabs>
          <w:tab w:val="left" w:pos="7420"/>
        </w:tabs>
        <w:spacing w:after="0" w:line="240" w:lineRule="auto"/>
        <w:jc w:val="center"/>
        <w:rPr>
          <w:b/>
          <w:color w:val="005E69"/>
          <w:szCs w:val="24"/>
        </w:rPr>
      </w:pPr>
    </w:p>
    <w:p w14:paraId="1657F93A" w14:textId="77777777" w:rsidR="003945DD" w:rsidRDefault="003945DD">
      <w:pPr>
        <w:tabs>
          <w:tab w:val="left" w:pos="7420"/>
        </w:tabs>
        <w:spacing w:after="0" w:line="240" w:lineRule="auto"/>
        <w:jc w:val="center"/>
        <w:rPr>
          <w:b/>
          <w:color w:val="005E69"/>
          <w:szCs w:val="24"/>
        </w:rPr>
      </w:pPr>
    </w:p>
    <w:p w14:paraId="4800DE1E" w14:textId="77777777" w:rsidR="003945DD" w:rsidRDefault="003945DD">
      <w:pPr>
        <w:tabs>
          <w:tab w:val="left" w:pos="7420"/>
        </w:tabs>
        <w:spacing w:after="0" w:line="240" w:lineRule="auto"/>
        <w:jc w:val="center"/>
        <w:rPr>
          <w:b/>
          <w:color w:val="005E69"/>
          <w:szCs w:val="24"/>
        </w:rPr>
      </w:pPr>
    </w:p>
    <w:p w14:paraId="6455F9A4" w14:textId="77777777" w:rsidR="003945DD" w:rsidRDefault="003945DD">
      <w:pPr>
        <w:tabs>
          <w:tab w:val="left" w:pos="7420"/>
        </w:tabs>
        <w:spacing w:after="0" w:line="240" w:lineRule="auto"/>
        <w:jc w:val="center"/>
        <w:rPr>
          <w:b/>
          <w:color w:val="005E69"/>
          <w:szCs w:val="24"/>
        </w:rPr>
      </w:pPr>
    </w:p>
    <w:p w14:paraId="5156F320" w14:textId="77777777" w:rsidR="003945DD" w:rsidRDefault="003945DD">
      <w:pPr>
        <w:tabs>
          <w:tab w:val="left" w:pos="7420"/>
        </w:tabs>
        <w:spacing w:after="0" w:line="240" w:lineRule="auto"/>
        <w:jc w:val="center"/>
        <w:rPr>
          <w:b/>
          <w:color w:val="005E69"/>
          <w:szCs w:val="24"/>
        </w:rPr>
      </w:pPr>
    </w:p>
    <w:p w14:paraId="0FB9F7B5" w14:textId="77777777" w:rsidR="003945DD" w:rsidRDefault="003945DD">
      <w:pPr>
        <w:tabs>
          <w:tab w:val="left" w:pos="7420"/>
        </w:tabs>
        <w:spacing w:after="0" w:line="240" w:lineRule="auto"/>
        <w:jc w:val="center"/>
        <w:rPr>
          <w:b/>
          <w:color w:val="005E69"/>
          <w:szCs w:val="24"/>
        </w:rPr>
      </w:pPr>
    </w:p>
    <w:p w14:paraId="6C608F80" w14:textId="77777777" w:rsidR="003945DD" w:rsidRDefault="003945DD">
      <w:pPr>
        <w:tabs>
          <w:tab w:val="left" w:pos="7420"/>
        </w:tabs>
        <w:spacing w:after="0" w:line="240" w:lineRule="auto"/>
        <w:jc w:val="center"/>
        <w:rPr>
          <w:b/>
          <w:color w:val="005E69"/>
          <w:szCs w:val="24"/>
        </w:rPr>
      </w:pPr>
    </w:p>
    <w:p w14:paraId="4F6E1CE8" w14:textId="77777777" w:rsidR="003945DD" w:rsidRDefault="003945DD">
      <w:pPr>
        <w:tabs>
          <w:tab w:val="left" w:pos="7420"/>
        </w:tabs>
        <w:spacing w:after="0" w:line="240" w:lineRule="auto"/>
        <w:jc w:val="center"/>
        <w:rPr>
          <w:b/>
          <w:color w:val="005E69"/>
          <w:szCs w:val="24"/>
        </w:rPr>
      </w:pPr>
    </w:p>
    <w:p w14:paraId="4E57D06A" w14:textId="77777777" w:rsidR="003945DD" w:rsidRDefault="003945DD">
      <w:pPr>
        <w:tabs>
          <w:tab w:val="left" w:pos="7420"/>
        </w:tabs>
        <w:spacing w:after="0" w:line="240" w:lineRule="auto"/>
        <w:jc w:val="center"/>
        <w:rPr>
          <w:b/>
          <w:color w:val="005E69"/>
          <w:szCs w:val="24"/>
        </w:rPr>
      </w:pPr>
    </w:p>
    <w:p w14:paraId="19E34E13" w14:textId="77777777" w:rsidR="003945DD" w:rsidRDefault="003945DD">
      <w:pPr>
        <w:tabs>
          <w:tab w:val="left" w:pos="7420"/>
        </w:tabs>
        <w:spacing w:after="0" w:line="240" w:lineRule="auto"/>
        <w:jc w:val="center"/>
        <w:rPr>
          <w:b/>
          <w:color w:val="005E69"/>
          <w:szCs w:val="24"/>
        </w:rPr>
      </w:pPr>
    </w:p>
    <w:p w14:paraId="4036E108" w14:textId="77777777" w:rsidR="003945DD" w:rsidRDefault="003945DD">
      <w:pPr>
        <w:tabs>
          <w:tab w:val="left" w:pos="7420"/>
        </w:tabs>
        <w:spacing w:after="0" w:line="240" w:lineRule="auto"/>
        <w:jc w:val="center"/>
        <w:rPr>
          <w:b/>
          <w:color w:val="005E69"/>
          <w:szCs w:val="24"/>
        </w:rPr>
      </w:pPr>
    </w:p>
    <w:p w14:paraId="1463B73E" w14:textId="77777777" w:rsidR="003945DD" w:rsidRDefault="003945DD">
      <w:pPr>
        <w:spacing w:after="0" w:line="240" w:lineRule="auto"/>
        <w:jc w:val="both"/>
        <w:rPr>
          <w:rFonts w:ascii="Arial" w:hAnsi="Arial" w:cs="Arial"/>
          <w:b/>
          <w:color w:val="005E69"/>
          <w:sz w:val="28"/>
          <w:szCs w:val="20"/>
        </w:rPr>
        <w:sectPr w:rsidR="003945DD">
          <w:headerReference w:type="default" r:id="rId8"/>
          <w:footerReference w:type="default" r:id="rId9"/>
          <w:pgSz w:w="12240" w:h="15840"/>
          <w:pgMar w:top="1440" w:right="1800" w:bottom="1440" w:left="1800" w:header="113" w:footer="708" w:gutter="0"/>
          <w:pgNumType w:start="2"/>
          <w:cols w:space="708"/>
          <w:docGrid w:linePitch="360"/>
        </w:sectPr>
      </w:pPr>
    </w:p>
    <w:p w14:paraId="50797600" w14:textId="32810F2E" w:rsidR="003945DD" w:rsidRPr="006749C2" w:rsidRDefault="00C30D29">
      <w:pPr>
        <w:spacing w:after="0" w:line="240" w:lineRule="auto"/>
        <w:jc w:val="both"/>
        <w:rPr>
          <w:rFonts w:ascii="Arial" w:hAnsi="Arial" w:cs="Arial"/>
          <w:b/>
          <w:sz w:val="24"/>
          <w:szCs w:val="24"/>
        </w:rPr>
      </w:pPr>
      <w:r>
        <w:rPr>
          <w:rFonts w:ascii="Arial" w:hAnsi="Arial" w:cs="Arial"/>
          <w:b/>
          <w:sz w:val="24"/>
          <w:szCs w:val="24"/>
        </w:rPr>
        <w:lastRenderedPageBreak/>
        <w:t>Estudio de caso</w:t>
      </w:r>
      <w:bookmarkStart w:id="0" w:name="_GoBack"/>
      <w:bookmarkEnd w:id="0"/>
      <w:r w:rsidR="00CD7F94" w:rsidRPr="006749C2">
        <w:rPr>
          <w:rFonts w:ascii="Arial" w:hAnsi="Arial" w:cs="Arial"/>
          <w:b/>
          <w:sz w:val="24"/>
          <w:szCs w:val="24"/>
        </w:rPr>
        <w:t>: plan de auditoría</w:t>
      </w:r>
    </w:p>
    <w:p w14:paraId="5EB0CBD8" w14:textId="77777777" w:rsidR="003945DD" w:rsidRDefault="003945DD">
      <w:pPr>
        <w:rPr>
          <w:rFonts w:ascii="Arial" w:hAnsi="Arial" w:cs="Arial"/>
          <w:szCs w:val="20"/>
        </w:rPr>
      </w:pPr>
    </w:p>
    <w:p w14:paraId="3F89023F" w14:textId="77777777" w:rsidR="003945DD" w:rsidRDefault="00CD7F94">
      <w:pPr>
        <w:spacing w:after="0" w:line="240" w:lineRule="auto"/>
        <w:rPr>
          <w:rFonts w:ascii="Arial" w:hAnsi="Arial" w:cs="Arial"/>
          <w:szCs w:val="20"/>
        </w:rPr>
      </w:pPr>
      <w:r>
        <w:rPr>
          <w:rFonts w:ascii="Arial" w:hAnsi="Arial" w:cs="Arial"/>
          <w:szCs w:val="20"/>
        </w:rPr>
        <w:t>Instrucciones: con los siguientes datos, elabora en el formato sugerido el plan de auditoría correspondiente.</w:t>
      </w:r>
    </w:p>
    <w:p w14:paraId="0628107E" w14:textId="77777777" w:rsidR="003945DD" w:rsidRDefault="003945DD">
      <w:pPr>
        <w:spacing w:after="0" w:line="240" w:lineRule="auto"/>
        <w:rPr>
          <w:rFonts w:ascii="Arial" w:hAnsi="Arial" w:cs="Arial"/>
          <w:szCs w:val="20"/>
        </w:rPr>
      </w:pPr>
    </w:p>
    <w:p w14:paraId="4A0D70F0" w14:textId="77777777" w:rsidR="003945DD" w:rsidRDefault="00CD7F94">
      <w:pPr>
        <w:spacing w:after="0" w:line="240" w:lineRule="auto"/>
        <w:jc w:val="both"/>
        <w:rPr>
          <w:rFonts w:ascii="Arial" w:hAnsi="Arial" w:cs="Arial"/>
          <w:szCs w:val="20"/>
        </w:rPr>
      </w:pPr>
      <w:r>
        <w:rPr>
          <w:rFonts w:ascii="Arial" w:hAnsi="Arial" w:cs="Arial"/>
          <w:szCs w:val="20"/>
        </w:rPr>
        <w:t>Los procedimientos de auditoría a aplicar en la visita preliminar son el estudio y evaluación del control interno, pruebas de cumplimiento, revisión de cuentas de balance, la circularización de saldos de activos y pasivos al 31 de octubre del presente año y el cálculo de depreciaciones de activos. En la visita final la toma física de inventarios, arqueos de caja y de otros valores, la revisión de cuentas de resultados y la terminación al 100 % de pendientes existentes.</w:t>
      </w:r>
    </w:p>
    <w:p w14:paraId="00B285C0" w14:textId="77777777" w:rsidR="003945DD" w:rsidRDefault="003945DD">
      <w:pPr>
        <w:spacing w:after="0" w:line="240" w:lineRule="auto"/>
        <w:jc w:val="both"/>
        <w:rPr>
          <w:rFonts w:ascii="Arial" w:hAnsi="Arial" w:cs="Arial"/>
          <w:szCs w:val="20"/>
        </w:rPr>
      </w:pPr>
    </w:p>
    <w:p w14:paraId="5BC1D311" w14:textId="77777777" w:rsidR="003945DD" w:rsidRDefault="003945DD">
      <w:pPr>
        <w:spacing w:after="0" w:line="240" w:lineRule="auto"/>
        <w:jc w:val="both"/>
        <w:rPr>
          <w:rFonts w:ascii="Arial" w:hAnsi="Arial" w:cs="Arial"/>
          <w:szCs w:val="20"/>
        </w:rPr>
      </w:pPr>
    </w:p>
    <w:p w14:paraId="35CB157C" w14:textId="77777777" w:rsidR="003945DD" w:rsidRDefault="00CD7F94">
      <w:pPr>
        <w:spacing w:after="0" w:line="240" w:lineRule="auto"/>
        <w:jc w:val="both"/>
        <w:rPr>
          <w:rFonts w:ascii="Arial" w:hAnsi="Arial" w:cs="Arial"/>
          <w:szCs w:val="20"/>
        </w:rPr>
      </w:pPr>
      <w:r>
        <w:rPr>
          <w:rFonts w:ascii="Arial" w:hAnsi="Arial" w:cs="Arial"/>
          <w:szCs w:val="20"/>
        </w:rPr>
        <w:t>La entidad a auditar es la empresa Comercializadora Mexicana, S. A. de C.V., fundada el 12 de marzo de 1995 que se ubica en la Ciudad de México, siendo su principal actividad la importación, exportación y comercialización de todo tipo de artículos para el hogar y la industria. Cuenta con 32 empleados, incluidos directivos, personal administrativo y de ventas.</w:t>
      </w:r>
    </w:p>
    <w:p w14:paraId="4B0400FA" w14:textId="77777777" w:rsidR="003945DD" w:rsidRDefault="003945DD">
      <w:pPr>
        <w:spacing w:after="0" w:line="240" w:lineRule="auto"/>
        <w:jc w:val="both"/>
        <w:rPr>
          <w:rFonts w:ascii="Arial" w:hAnsi="Arial" w:cs="Arial"/>
          <w:szCs w:val="20"/>
        </w:rPr>
      </w:pPr>
    </w:p>
    <w:p w14:paraId="73A642DF" w14:textId="77777777" w:rsidR="003945DD" w:rsidRDefault="00CD7F94">
      <w:pPr>
        <w:spacing w:after="0" w:line="240" w:lineRule="auto"/>
        <w:jc w:val="both"/>
        <w:rPr>
          <w:rFonts w:ascii="Arial" w:hAnsi="Arial" w:cs="Arial"/>
          <w:szCs w:val="20"/>
        </w:rPr>
      </w:pPr>
      <w:r>
        <w:rPr>
          <w:rFonts w:ascii="Arial" w:hAnsi="Arial" w:cs="Arial"/>
          <w:szCs w:val="20"/>
        </w:rPr>
        <w:t>La empresa presenta al 31 de diciembre del año anterior las siguientes cifras:</w:t>
      </w:r>
    </w:p>
    <w:p w14:paraId="4C604CDD" w14:textId="77777777" w:rsidR="003945DD" w:rsidRDefault="003945DD">
      <w:pPr>
        <w:spacing w:after="0" w:line="240" w:lineRule="auto"/>
        <w:jc w:val="both"/>
        <w:rPr>
          <w:rFonts w:ascii="Arial" w:hAnsi="Arial" w:cs="Arial"/>
          <w:szCs w:val="20"/>
        </w:rPr>
      </w:pPr>
    </w:p>
    <w:p w14:paraId="25718AD6" w14:textId="77777777" w:rsidR="003945DD" w:rsidRDefault="00CD7F94">
      <w:pPr>
        <w:jc w:val="both"/>
        <w:rPr>
          <w:rFonts w:ascii="Arial" w:hAnsi="Arial" w:cs="Arial"/>
          <w:szCs w:val="20"/>
        </w:rPr>
      </w:pPr>
      <w:r>
        <w:rPr>
          <w:rFonts w:ascii="Arial" w:hAnsi="Arial" w:cs="Arial"/>
          <w:szCs w:val="20"/>
        </w:rPr>
        <w:t>Ventas $ 89, 148,834.00</w:t>
      </w:r>
    </w:p>
    <w:p w14:paraId="0FE7F156" w14:textId="77777777" w:rsidR="003945DD" w:rsidRDefault="00CD7F94">
      <w:pPr>
        <w:jc w:val="both"/>
        <w:rPr>
          <w:rFonts w:ascii="Arial" w:hAnsi="Arial" w:cs="Arial"/>
          <w:szCs w:val="20"/>
        </w:rPr>
      </w:pPr>
      <w:r>
        <w:rPr>
          <w:rFonts w:ascii="Arial" w:hAnsi="Arial" w:cs="Arial"/>
          <w:szCs w:val="20"/>
        </w:rPr>
        <w:t>Costo de ventas $ 41, 834,098.00</w:t>
      </w:r>
    </w:p>
    <w:p w14:paraId="50222F8E" w14:textId="77777777" w:rsidR="003945DD" w:rsidRDefault="00CD7F94">
      <w:pPr>
        <w:jc w:val="both"/>
        <w:rPr>
          <w:rFonts w:ascii="Arial" w:hAnsi="Arial" w:cs="Arial"/>
          <w:szCs w:val="20"/>
        </w:rPr>
      </w:pPr>
      <w:r>
        <w:rPr>
          <w:rFonts w:ascii="Arial" w:hAnsi="Arial" w:cs="Arial"/>
          <w:szCs w:val="20"/>
        </w:rPr>
        <w:t>Gastos de administración $ 4,158,369.00</w:t>
      </w:r>
    </w:p>
    <w:p w14:paraId="4A874715" w14:textId="77777777" w:rsidR="003945DD" w:rsidRDefault="00CD7F94">
      <w:pPr>
        <w:jc w:val="both"/>
        <w:rPr>
          <w:rFonts w:ascii="Arial" w:hAnsi="Arial" w:cs="Arial"/>
          <w:szCs w:val="20"/>
        </w:rPr>
      </w:pPr>
      <w:r>
        <w:rPr>
          <w:rFonts w:ascii="Arial" w:hAnsi="Arial" w:cs="Arial"/>
          <w:szCs w:val="20"/>
        </w:rPr>
        <w:t xml:space="preserve">Gastos de ventas $ 5,760,896.00 </w:t>
      </w:r>
    </w:p>
    <w:p w14:paraId="42BECB11" w14:textId="77777777" w:rsidR="003945DD" w:rsidRDefault="00CD7F94">
      <w:pPr>
        <w:jc w:val="both"/>
        <w:rPr>
          <w:rFonts w:ascii="Arial" w:hAnsi="Arial" w:cs="Arial"/>
          <w:szCs w:val="20"/>
        </w:rPr>
      </w:pPr>
      <w:r>
        <w:rPr>
          <w:rFonts w:ascii="Arial" w:hAnsi="Arial" w:cs="Arial"/>
          <w:szCs w:val="20"/>
        </w:rPr>
        <w:t>Está constituida conforme a las leyes mercantiles, fiscales (persona moral) y de todo tipo existentes en la República Mexicana, en especial de la Ciudad de México y la delegación Miguel Hidalgo donde tiene su domicilio en calle Lago Malar 2135, colonia Argentina C.P.11320.</w:t>
      </w:r>
    </w:p>
    <w:p w14:paraId="2C812E3C" w14:textId="77777777" w:rsidR="003945DD" w:rsidRDefault="00CD7F94">
      <w:pPr>
        <w:jc w:val="both"/>
        <w:rPr>
          <w:rFonts w:ascii="Arial" w:hAnsi="Arial" w:cs="Arial"/>
          <w:szCs w:val="20"/>
        </w:rPr>
      </w:pPr>
      <w:r>
        <w:rPr>
          <w:rFonts w:ascii="Arial" w:hAnsi="Arial" w:cs="Arial"/>
          <w:szCs w:val="20"/>
        </w:rPr>
        <w:t>El personal de auditoría que intervendrá es el siguiente: Elia Ramírez M. socia responsable, 50 horas; Gilberto García P., gerente de auditoría, 100 horas; Miguel Herrera E., supervisor, 160 horas; 3 ayudantes de auditoría (cada uno con 180 horas).</w:t>
      </w:r>
    </w:p>
    <w:p w14:paraId="72D76C37" w14:textId="77777777" w:rsidR="003945DD" w:rsidRDefault="00CD7F94">
      <w:pPr>
        <w:jc w:val="both"/>
        <w:rPr>
          <w:rFonts w:ascii="Arial" w:hAnsi="Arial" w:cs="Arial"/>
          <w:szCs w:val="20"/>
        </w:rPr>
      </w:pPr>
      <w:r>
        <w:rPr>
          <w:rFonts w:ascii="Arial" w:hAnsi="Arial" w:cs="Arial"/>
          <w:szCs w:val="20"/>
        </w:rPr>
        <w:t>Control interno              100 horas</w:t>
      </w:r>
    </w:p>
    <w:p w14:paraId="4D5F7191" w14:textId="77777777" w:rsidR="003945DD" w:rsidRDefault="00CD7F94">
      <w:pPr>
        <w:jc w:val="both"/>
        <w:rPr>
          <w:rFonts w:ascii="Arial" w:hAnsi="Arial" w:cs="Arial"/>
          <w:szCs w:val="20"/>
        </w:rPr>
      </w:pPr>
      <w:r>
        <w:rPr>
          <w:rFonts w:ascii="Arial" w:hAnsi="Arial" w:cs="Arial"/>
          <w:szCs w:val="20"/>
        </w:rPr>
        <w:t>Cuentas de balance       320 horas</w:t>
      </w:r>
    </w:p>
    <w:p w14:paraId="61949D9E" w14:textId="77777777" w:rsidR="003945DD" w:rsidRDefault="00CD7F94">
      <w:pPr>
        <w:jc w:val="both"/>
        <w:rPr>
          <w:rFonts w:ascii="Arial" w:hAnsi="Arial" w:cs="Arial"/>
          <w:szCs w:val="20"/>
        </w:rPr>
      </w:pPr>
      <w:r>
        <w:rPr>
          <w:rFonts w:ascii="Arial" w:hAnsi="Arial" w:cs="Arial"/>
          <w:szCs w:val="20"/>
        </w:rPr>
        <w:t>Cuentas de resultados   360 horas</w:t>
      </w:r>
    </w:p>
    <w:p w14:paraId="1D6F9D5A" w14:textId="77777777" w:rsidR="003945DD" w:rsidRDefault="00CD7F94">
      <w:pPr>
        <w:jc w:val="both"/>
        <w:rPr>
          <w:rFonts w:ascii="Arial" w:hAnsi="Arial" w:cs="Arial"/>
          <w:szCs w:val="20"/>
        </w:rPr>
      </w:pPr>
      <w:r>
        <w:rPr>
          <w:rFonts w:ascii="Arial" w:hAnsi="Arial" w:cs="Arial"/>
          <w:szCs w:val="20"/>
        </w:rPr>
        <w:t>Informe                             70 horas</w:t>
      </w:r>
    </w:p>
    <w:p w14:paraId="5DF44F33" w14:textId="77777777" w:rsidR="003945DD" w:rsidRDefault="00CD7F94">
      <w:pPr>
        <w:jc w:val="both"/>
        <w:rPr>
          <w:rFonts w:ascii="Arial" w:hAnsi="Arial" w:cs="Arial"/>
          <w:szCs w:val="20"/>
        </w:rPr>
      </w:pPr>
      <w:r>
        <w:rPr>
          <w:rFonts w:ascii="Arial" w:hAnsi="Arial" w:cs="Arial"/>
          <w:szCs w:val="20"/>
        </w:rPr>
        <w:t>Sus proveedores son nacionales y extranjeros (aproximadamente 39) y sus clientes son las tiendas departamentales y cadenas de autoservicio.</w:t>
      </w:r>
    </w:p>
    <w:p w14:paraId="008F38A3" w14:textId="77777777" w:rsidR="003945DD" w:rsidRDefault="00CD7F94">
      <w:pPr>
        <w:jc w:val="both"/>
        <w:rPr>
          <w:rFonts w:ascii="Arial" w:hAnsi="Arial" w:cs="Arial"/>
          <w:szCs w:val="20"/>
        </w:rPr>
      </w:pPr>
      <w:r>
        <w:rPr>
          <w:rFonts w:ascii="Arial" w:hAnsi="Arial" w:cs="Arial"/>
          <w:szCs w:val="20"/>
        </w:rPr>
        <w:t>Deberán entregarse 10 ejemplares del informe de auditoría</w:t>
      </w:r>
    </w:p>
    <w:p w14:paraId="117C8847" w14:textId="77777777" w:rsidR="003945DD" w:rsidRDefault="00CD7F94">
      <w:pPr>
        <w:jc w:val="both"/>
        <w:rPr>
          <w:rFonts w:ascii="Arial" w:hAnsi="Arial" w:cs="Arial"/>
          <w:szCs w:val="20"/>
        </w:rPr>
      </w:pPr>
      <w:r>
        <w:rPr>
          <w:rFonts w:ascii="Arial" w:hAnsi="Arial" w:cs="Arial"/>
          <w:szCs w:val="20"/>
        </w:rPr>
        <w:lastRenderedPageBreak/>
        <w:t>La auditoría abarca del 1º de enero al 31 de diciembre del año en curso, por lo que iniciaremos con una auditoría preliminar en el mes de noviembre del presente año, entregando un informe de avance al día 20 de diciembre; la auditoría final se realizará durante el mes de febrero del siguiente año, para entregar el Informe el 31 de marzo.</w:t>
      </w:r>
    </w:p>
    <w:p w14:paraId="7184D512" w14:textId="77777777" w:rsidR="003945DD" w:rsidRDefault="00CD7F94">
      <w:pPr>
        <w:jc w:val="both"/>
        <w:rPr>
          <w:rFonts w:ascii="Arial" w:hAnsi="Arial" w:cs="Arial"/>
          <w:szCs w:val="20"/>
        </w:rPr>
      </w:pPr>
      <w:r>
        <w:rPr>
          <w:rFonts w:ascii="Arial" w:hAnsi="Arial" w:cs="Arial"/>
          <w:szCs w:val="20"/>
        </w:rPr>
        <w:t>Los principales funcionarios de la empresa son: Gerardo Victoria J., gerente general; Arturo Mayagoitia P., director de finanzas; Rosario López V., contadora general; Francisco Edgar Ruiz, gerente de ventas.</w:t>
      </w:r>
    </w:p>
    <w:p w14:paraId="0FEF119C" w14:textId="77777777" w:rsidR="003945DD" w:rsidRDefault="00CD7F94">
      <w:pPr>
        <w:jc w:val="both"/>
        <w:rPr>
          <w:rFonts w:ascii="Arial" w:hAnsi="Arial" w:cs="Arial"/>
          <w:szCs w:val="20"/>
        </w:rPr>
      </w:pPr>
      <w:r>
        <w:rPr>
          <w:rFonts w:ascii="Arial" w:hAnsi="Arial" w:cs="Arial"/>
          <w:szCs w:val="20"/>
        </w:rPr>
        <w:t>Nombre de quien elabora el Plan de auditoría</w:t>
      </w:r>
    </w:p>
    <w:p w14:paraId="6183457E" w14:textId="77777777" w:rsidR="003945DD" w:rsidRDefault="00CD7F94">
      <w:pPr>
        <w:jc w:val="both"/>
        <w:rPr>
          <w:rFonts w:ascii="Arial" w:hAnsi="Arial" w:cs="Arial"/>
          <w:szCs w:val="20"/>
        </w:rPr>
      </w:pPr>
      <w:r>
        <w:rPr>
          <w:rFonts w:ascii="Arial" w:hAnsi="Arial" w:cs="Arial"/>
          <w:szCs w:val="20"/>
        </w:rPr>
        <w:t>Nombre de quien revisa el Plan de auditoría (gerente)</w:t>
      </w:r>
    </w:p>
    <w:p w14:paraId="040DD8FB" w14:textId="77777777" w:rsidR="003945DD" w:rsidRDefault="00CD7F94">
      <w:pPr>
        <w:jc w:val="both"/>
        <w:rPr>
          <w:rFonts w:ascii="Arial" w:hAnsi="Arial" w:cs="Arial"/>
          <w:szCs w:val="20"/>
        </w:rPr>
      </w:pPr>
      <w:r>
        <w:rPr>
          <w:rFonts w:ascii="Arial" w:hAnsi="Arial" w:cs="Arial"/>
          <w:szCs w:val="20"/>
        </w:rPr>
        <w:t>Nombre de quien autoriza el Plan de auditoría (socio/a)</w:t>
      </w:r>
    </w:p>
    <w:p w14:paraId="2249BF5F" w14:textId="77777777" w:rsidR="003945DD" w:rsidRDefault="00CD7F94">
      <w:pPr>
        <w:jc w:val="both"/>
        <w:rPr>
          <w:rFonts w:ascii="Arial" w:hAnsi="Arial" w:cs="Arial"/>
          <w:szCs w:val="20"/>
        </w:rPr>
      </w:pPr>
      <w:r>
        <w:rPr>
          <w:rFonts w:ascii="Arial" w:hAnsi="Arial" w:cs="Arial"/>
          <w:szCs w:val="20"/>
        </w:rPr>
        <w:t>Una de las situaciones a considerar de manera especial es que ésta es la primera auditoría que realizamos como despacho a esta entidad, además del hecho de que probablemente se fusione el año entrante con otra empresa comercializadora del norte del país. El 60 % de sus operaciones de compra son en moneda extranjera.</w:t>
      </w:r>
    </w:p>
    <w:p w14:paraId="023F5D1B" w14:textId="77777777" w:rsidR="003945DD" w:rsidRDefault="003945DD">
      <w:pPr>
        <w:jc w:val="both"/>
        <w:rPr>
          <w:rFonts w:ascii="Arial" w:hAnsi="Arial" w:cs="Arial"/>
          <w:szCs w:val="20"/>
        </w:rPr>
      </w:pPr>
    </w:p>
    <w:p w14:paraId="53E3941F" w14:textId="77777777" w:rsidR="003945DD" w:rsidRDefault="003945DD">
      <w:pPr>
        <w:jc w:val="both"/>
        <w:rPr>
          <w:rFonts w:ascii="Arial" w:hAnsi="Arial" w:cs="Arial"/>
          <w:szCs w:val="20"/>
        </w:rPr>
      </w:pPr>
    </w:p>
    <w:p w14:paraId="5CB655C2" w14:textId="77777777" w:rsidR="003945DD" w:rsidRDefault="003945DD">
      <w:pPr>
        <w:jc w:val="both"/>
        <w:rPr>
          <w:rFonts w:ascii="Arial" w:hAnsi="Arial" w:cs="Arial"/>
          <w:szCs w:val="20"/>
        </w:rPr>
      </w:pPr>
    </w:p>
    <w:sectPr w:rsidR="003945DD" w:rsidSect="004C23F1">
      <w:footerReference w:type="default" r:id="rId10"/>
      <w:pgSz w:w="12240" w:h="15840"/>
      <w:pgMar w:top="784" w:right="1800" w:bottom="1440" w:left="1800" w:header="113"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559D3" w14:textId="77777777" w:rsidR="002879D4" w:rsidRDefault="002879D4">
      <w:pPr>
        <w:spacing w:after="0" w:line="240" w:lineRule="auto"/>
      </w:pPr>
      <w:r>
        <w:separator/>
      </w:r>
    </w:p>
  </w:endnote>
  <w:endnote w:type="continuationSeparator" w:id="0">
    <w:p w14:paraId="1E19C3BA" w14:textId="77777777" w:rsidR="002879D4" w:rsidRDefault="0028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3CB27" w14:textId="371F0B79" w:rsidR="003945DD" w:rsidRDefault="00C30D29">
    <w:pPr>
      <w:pStyle w:val="Piedepgina"/>
      <w:jc w:val="both"/>
    </w:pPr>
    <w:r>
      <w:rPr>
        <w:noProof/>
        <w:lang w:eastAsia="es-MX"/>
      </w:rPr>
      <mc:AlternateContent>
        <mc:Choice Requires="wps">
          <w:drawing>
            <wp:anchor distT="0" distB="0" distL="114300" distR="114300" simplePos="0" relativeHeight="251745280" behindDoc="0" locked="0" layoutInCell="1" allowOverlap="1" wp14:anchorId="19E76894" wp14:editId="7F533B83">
              <wp:simplePos x="0" y="0"/>
              <wp:positionH relativeFrom="margin">
                <wp:align>right</wp:align>
              </wp:positionH>
              <wp:positionV relativeFrom="paragraph">
                <wp:posOffset>0</wp:posOffset>
              </wp:positionV>
              <wp:extent cx="71120" cy="17081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a:ln w="6350">
                        <a:noFill/>
                      </a:ln>
                      <a:effectLst/>
                    </wps:spPr>
                    <wps:txbx>
                      <w:txbxContent>
                        <w:p w14:paraId="699DCCD5" w14:textId="57EF458B" w:rsidR="003945DD" w:rsidRDefault="00CD7F94">
                          <w:pPr>
                            <w:pStyle w:val="Piedepgina"/>
                          </w:pPr>
                          <w:r>
                            <w:fldChar w:fldCharType="begin"/>
                          </w:r>
                          <w:r>
                            <w:instrText xml:space="preserve"> PAGE  \* MERGEFORMAT </w:instrText>
                          </w:r>
                          <w:r>
                            <w:fldChar w:fldCharType="separate"/>
                          </w:r>
                          <w:r w:rsidR="00C30D2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9E76894" id="_x0000_t202" coordsize="21600,21600" o:spt="202" path="m,l,21600r21600,l21600,xe">
              <v:stroke joinstyle="miter"/>
              <v:path gradientshapeok="t" o:connecttype="rect"/>
            </v:shapetype>
            <v:shape id="Cuadro de texto 2" o:spid="_x0000_s1026" type="#_x0000_t202" style="position:absolute;left:0;text-align:left;margin-left:-45.6pt;margin-top:0;width:5.6pt;height:13.45pt;z-index:2517452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" filled="f" stroked="f" strokeweight=".5pt">
              <v:path arrowok="t"/>
              <v:textbox style="mso-fit-shape-to-text:t" inset="0,0,0,0">
                <w:txbxContent>
                  <w:p w14:paraId="699DCCD5" w14:textId="57EF458B" w:rsidR="003945DD" w:rsidRDefault="00CD7F94">
                    <w:pPr>
                      <w:pStyle w:val="Piedepgina"/>
                    </w:pPr>
                    <w:r>
                      <w:fldChar w:fldCharType="begin"/>
                    </w:r>
                    <w:r>
                      <w:instrText xml:space="preserve"> PAGE  \* MERGEFORMAT </w:instrText>
                    </w:r>
                    <w:r>
                      <w:fldChar w:fldCharType="separate"/>
                    </w:r>
                    <w:r w:rsidR="00C30D29">
                      <w:rPr>
                        <w:noProof/>
                      </w:rPr>
                      <w:t>2</w:t>
                    </w:r>
                    <w:r>
                      <w:fldChar w:fldCharType="end"/>
                    </w:r>
                  </w:p>
                </w:txbxContent>
              </v:textbox>
              <w10:wrap anchorx="margin"/>
            </v:shape>
          </w:pict>
        </mc:Fallback>
      </mc:AlternateContent>
    </w:r>
    <w:r w:rsidR="00CD7F94">
      <w:t>UnADM | IPN | BUAP | Licenciatura en Contaduría y Finanzas Públicas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E4EE" w14:textId="2A1483BC" w:rsidR="003945DD" w:rsidRDefault="00C30D29">
    <w:pPr>
      <w:pStyle w:val="Piedepgina"/>
      <w:jc w:val="both"/>
    </w:pPr>
    <w:r>
      <w:rPr>
        <w:noProof/>
        <w:lang w:eastAsia="es-MX"/>
      </w:rPr>
      <mc:AlternateContent>
        <mc:Choice Requires="wps">
          <w:drawing>
            <wp:anchor distT="0" distB="0" distL="114300" distR="114300" simplePos="0" relativeHeight="251859968" behindDoc="0" locked="0" layoutInCell="1" allowOverlap="1" wp14:anchorId="5DA3A27F" wp14:editId="4C350BDA">
              <wp:simplePos x="0" y="0"/>
              <wp:positionH relativeFrom="margin">
                <wp:align>right</wp:align>
              </wp:positionH>
              <wp:positionV relativeFrom="paragraph">
                <wp:posOffset>0</wp:posOffset>
              </wp:positionV>
              <wp:extent cx="71120" cy="17081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a:ln w="6350">
                        <a:noFill/>
                      </a:ln>
                      <a:effectLst/>
                    </wps:spPr>
                    <wps:txbx>
                      <w:txbxContent>
                        <w:p w14:paraId="43DDC790" w14:textId="3AECD26B" w:rsidR="003945DD" w:rsidRDefault="00CD7F94">
                          <w:pPr>
                            <w:pStyle w:val="Piedepgina"/>
                          </w:pPr>
                          <w:r>
                            <w:fldChar w:fldCharType="begin"/>
                          </w:r>
                          <w:r>
                            <w:instrText xml:space="preserve"> PAGE  \* MERGEFORMAT </w:instrText>
                          </w:r>
                          <w:r>
                            <w:fldChar w:fldCharType="separate"/>
                          </w:r>
                          <w:r w:rsidR="00C30D2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DA3A27F" id="_x0000_t202" coordsize="21600,21600" o:spt="202" path="m,l,21600r21600,l21600,xe">
              <v:stroke joinstyle="miter"/>
              <v:path gradientshapeok="t" o:connecttype="rect"/>
            </v:shapetype>
            <v:shape id="_x0000_s1027" type="#_x0000_t202" style="position:absolute;left:0;text-align:left;margin-left:-45.6pt;margin-top:0;width:5.6pt;height:13.45pt;z-index:2518599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" filled="f" stroked="f" strokeweight=".5pt">
              <v:path arrowok="t"/>
              <v:textbox style="mso-fit-shape-to-text:t" inset="0,0,0,0">
                <w:txbxContent>
                  <w:p w14:paraId="43DDC790" w14:textId="3AECD26B" w:rsidR="003945DD" w:rsidRDefault="00CD7F94">
                    <w:pPr>
                      <w:pStyle w:val="Piedepgina"/>
                    </w:pPr>
                    <w:r>
                      <w:fldChar w:fldCharType="begin"/>
                    </w:r>
                    <w:r>
                      <w:instrText xml:space="preserve"> PAGE  \* MERGEFORMAT </w:instrText>
                    </w:r>
                    <w:r>
                      <w:fldChar w:fldCharType="separate"/>
                    </w:r>
                    <w:r w:rsidR="00C30D29">
                      <w:rPr>
                        <w:noProof/>
                      </w:rPr>
                      <w:t>2</w:t>
                    </w:r>
                    <w:r>
                      <w:fldChar w:fldCharType="end"/>
                    </w:r>
                  </w:p>
                </w:txbxContent>
              </v:textbox>
              <w10:wrap anchorx="margin"/>
            </v:shape>
          </w:pict>
        </mc:Fallback>
      </mc:AlternateContent>
    </w:r>
    <w:r w:rsidR="00CD7F94">
      <w:t>UnADM | IPN | BUAP | Licenciatura en Contaduría y Finanzas Públicas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C96B" w14:textId="77777777" w:rsidR="002879D4" w:rsidRDefault="002879D4">
      <w:pPr>
        <w:spacing w:after="0" w:line="240" w:lineRule="auto"/>
      </w:pPr>
      <w:r>
        <w:separator/>
      </w:r>
    </w:p>
  </w:footnote>
  <w:footnote w:type="continuationSeparator" w:id="0">
    <w:p w14:paraId="3616124F" w14:textId="77777777" w:rsidR="002879D4" w:rsidRDefault="0028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FDB5" w14:textId="77777777" w:rsidR="004C23F1" w:rsidRPr="004C23F1" w:rsidRDefault="00CD7F94" w:rsidP="004C23F1">
    <w:pPr>
      <w:pStyle w:val="Ttulo"/>
      <w:spacing w:line="360" w:lineRule="auto"/>
      <w:rPr>
        <w:rFonts w:ascii="Arial" w:hAnsi="Arial" w:cs="Arial"/>
        <w:color w:val="06444B"/>
        <w:lang w:val="es-MX" w:eastAsia="en-US"/>
      </w:rPr>
    </w:pPr>
    <w:r w:rsidRPr="004C23F1">
      <w:rPr>
        <w:rFonts w:ascii="Arial" w:hAnsi="Arial" w:cs="Arial"/>
        <w:noProof/>
        <w:color w:val="06444B"/>
        <w:lang w:val="es-MX" w:eastAsia="es-MX"/>
      </w:rPr>
      <w:drawing>
        <wp:anchor distT="0" distB="0" distL="114300" distR="114300" simplePos="0" relativeHeight="251771904" behindDoc="1" locked="0" layoutInCell="1" allowOverlap="1" wp14:anchorId="55276FC8" wp14:editId="64F81D2D">
          <wp:simplePos x="0" y="0"/>
          <wp:positionH relativeFrom="page">
            <wp:posOffset>-31115</wp:posOffset>
          </wp:positionH>
          <wp:positionV relativeFrom="page">
            <wp:posOffset>11430</wp:posOffset>
          </wp:positionV>
          <wp:extent cx="7771765" cy="1079500"/>
          <wp:effectExtent l="0" t="0" r="63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71765" cy="1079500"/>
                  </a:xfrm>
                  <a:prstGeom prst="rect">
                    <a:avLst/>
                  </a:prstGeom>
                  <a:noFill/>
                  <a:ln>
                    <a:noFill/>
                  </a:ln>
                </pic:spPr>
              </pic:pic>
            </a:graphicData>
          </a:graphic>
        </wp:anchor>
      </w:drawing>
    </w:r>
    <w:r w:rsidRPr="004C23F1">
      <w:rPr>
        <w:rFonts w:ascii="Arial" w:hAnsi="Arial" w:cs="Arial"/>
        <w:color w:val="06444B"/>
        <w:lang w:val="es-MX" w:eastAsia="en-US"/>
      </w:rPr>
      <w:t>Módulo 18. Auditoría Gubernamental</w:t>
    </w:r>
  </w:p>
  <w:p w14:paraId="4CD45E15" w14:textId="77777777" w:rsidR="004C23F1" w:rsidRPr="004C23F1" w:rsidRDefault="00CD7F94" w:rsidP="004C23F1">
    <w:pPr>
      <w:pStyle w:val="Ttulo"/>
      <w:spacing w:line="360" w:lineRule="auto"/>
      <w:rPr>
        <w:rFonts w:ascii="Arial" w:hAnsi="Arial" w:cs="Arial"/>
        <w:b w:val="0"/>
        <w:bCs/>
        <w:color w:val="06444B"/>
        <w:sz w:val="32"/>
        <w:szCs w:val="32"/>
      </w:rPr>
    </w:pPr>
    <w:r w:rsidRPr="004C23F1">
      <w:rPr>
        <w:rFonts w:ascii="Arial" w:hAnsi="Arial" w:cs="Arial"/>
        <w:b w:val="0"/>
        <w:bCs/>
        <w:color w:val="06444B"/>
        <w:sz w:val="32"/>
        <w:szCs w:val="32"/>
      </w:rPr>
      <w:t>Unidad 1. La auditoría y su planeación</w:t>
    </w:r>
  </w:p>
  <w:p w14:paraId="76449885" w14:textId="4AC4B7FD" w:rsidR="003945DD" w:rsidRPr="004C23F1" w:rsidRDefault="00C30D29" w:rsidP="004C23F1">
    <w:pPr>
      <w:pStyle w:val="Ttulo"/>
      <w:spacing w:line="360" w:lineRule="auto"/>
      <w:rPr>
        <w:b w:val="0"/>
        <w:bCs/>
        <w:color w:val="06444B"/>
        <w:sz w:val="28"/>
        <w:szCs w:val="28"/>
      </w:rPr>
    </w:pPr>
    <w:r>
      <w:rPr>
        <w:rFonts w:ascii="Arial" w:hAnsi="Arial" w:cs="Arial"/>
        <w:b w:val="0"/>
        <w:bCs/>
        <w:color w:val="06444B"/>
        <w:sz w:val="28"/>
        <w:szCs w:val="28"/>
      </w:rPr>
      <w:t>Estudio de caso</w:t>
    </w:r>
    <w:r w:rsidR="00CD7F94" w:rsidRPr="004C23F1">
      <w:rPr>
        <w:rFonts w:ascii="Arial" w:hAnsi="Arial" w:cs="Arial"/>
        <w:b w:val="0"/>
        <w:bCs/>
        <w:color w:val="06444B"/>
        <w:sz w:val="28"/>
        <w:szCs w:val="28"/>
      </w:rPr>
      <w:t>. Plan de auditoria</w:t>
    </w:r>
  </w:p>
  <w:p w14:paraId="409C2B3D" w14:textId="77777777" w:rsidR="003945DD" w:rsidRDefault="00CD7F94">
    <w:pPr>
      <w:pStyle w:val="Encabezado"/>
    </w:pPr>
    <w:r>
      <w:rPr>
        <w:noProof/>
        <w:color w:val="06444B"/>
        <w:lang w:eastAsia="es-MX"/>
      </w:rPr>
      <w:drawing>
        <wp:anchor distT="0" distB="0" distL="114300" distR="114300" simplePos="0" relativeHeight="251758592" behindDoc="1" locked="0" layoutInCell="1" allowOverlap="1" wp14:anchorId="1D84392B" wp14:editId="7491D6B9">
          <wp:simplePos x="0" y="0"/>
          <wp:positionH relativeFrom="page">
            <wp:posOffset>0</wp:posOffset>
          </wp:positionH>
          <wp:positionV relativeFrom="page">
            <wp:posOffset>11430</wp:posOffset>
          </wp:positionV>
          <wp:extent cx="7771765" cy="1079500"/>
          <wp:effectExtent l="0" t="0" r="635"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71765" cy="1079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06"/>
    <w:rsid w:val="00057CE5"/>
    <w:rsid w:val="00141B0F"/>
    <w:rsid w:val="001E3D06"/>
    <w:rsid w:val="00205C77"/>
    <w:rsid w:val="00242592"/>
    <w:rsid w:val="002879D4"/>
    <w:rsid w:val="002C4085"/>
    <w:rsid w:val="003945DD"/>
    <w:rsid w:val="003C0EAA"/>
    <w:rsid w:val="003D4277"/>
    <w:rsid w:val="004C23F1"/>
    <w:rsid w:val="00524FFB"/>
    <w:rsid w:val="005F4E2C"/>
    <w:rsid w:val="006130D6"/>
    <w:rsid w:val="006749C2"/>
    <w:rsid w:val="00680247"/>
    <w:rsid w:val="006E4754"/>
    <w:rsid w:val="008036C4"/>
    <w:rsid w:val="00985C31"/>
    <w:rsid w:val="009A37A5"/>
    <w:rsid w:val="00A07CDA"/>
    <w:rsid w:val="00A90C62"/>
    <w:rsid w:val="00B16264"/>
    <w:rsid w:val="00B3109D"/>
    <w:rsid w:val="00B65B12"/>
    <w:rsid w:val="00BF4869"/>
    <w:rsid w:val="00C11108"/>
    <w:rsid w:val="00C30D29"/>
    <w:rsid w:val="00C464DE"/>
    <w:rsid w:val="00C56A0F"/>
    <w:rsid w:val="00CD7F94"/>
    <w:rsid w:val="00D7080A"/>
    <w:rsid w:val="00DD72EF"/>
    <w:rsid w:val="00E448BA"/>
    <w:rsid w:val="00E621D4"/>
    <w:rsid w:val="00E7284A"/>
    <w:rsid w:val="00EB0D5A"/>
    <w:rsid w:val="00EE4F2F"/>
    <w:rsid w:val="00F662F8"/>
    <w:rsid w:val="00FE66FD"/>
    <w:rsid w:val="00FF6279"/>
    <w:rsid w:val="454D1859"/>
    <w:rsid w:val="7BC030F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14666A"/>
  <w15:docId w15:val="{F5CC0A04-5830-4FD3-A9A4-E0745B20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Subttulo">
    <w:name w:val="Subtitle"/>
    <w:basedOn w:val="Prrafodelista"/>
    <w:next w:val="Normal"/>
    <w:uiPriority w:val="11"/>
    <w:qFormat/>
    <w:pPr>
      <w:ind w:left="0"/>
      <w:contextualSpacing w:val="0"/>
    </w:pPr>
    <w:rPr>
      <w:color w:val="FFFFFF" w:themeColor="background1"/>
      <w:sz w:val="32"/>
      <w:szCs w:val="32"/>
    </w:rPr>
  </w:style>
  <w:style w:type="paragraph" w:styleId="Prrafodelista">
    <w:name w:val="List Paragraph"/>
    <w:basedOn w:val="Normal"/>
    <w:uiPriority w:val="34"/>
    <w:qFormat/>
    <w:pPr>
      <w:ind w:left="720"/>
      <w:contextualSpacing/>
    </w:pPr>
  </w:style>
  <w:style w:type="paragraph" w:styleId="Ttulo">
    <w:name w:val="Title"/>
    <w:basedOn w:val="Encabezado"/>
    <w:next w:val="Normal"/>
    <w:uiPriority w:val="10"/>
    <w:qFormat/>
    <w:pPr>
      <w:spacing w:line="276" w:lineRule="auto"/>
    </w:pPr>
    <w:rPr>
      <w:b/>
      <w:color w:val="FFFFFF" w:themeColor="background1"/>
      <w:sz w:val="36"/>
      <w:szCs w:val="36"/>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Plecadescargable">
    <w:name w:val="Pleca descargable"/>
    <w:basedOn w:val="Normal"/>
    <w:qFormat/>
    <w:pPr>
      <w:tabs>
        <w:tab w:val="left" w:pos="2180"/>
        <w:tab w:val="center" w:pos="4419"/>
      </w:tabs>
    </w:pPr>
    <w:rPr>
      <w:color w:val="FFFFFF" w:themeColor="background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textRotate="1"/>
    <customShpInfo spid="_x0000_s205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erika hernández hernández</cp:lastModifiedBy>
  <cp:revision>2</cp:revision>
  <dcterms:created xsi:type="dcterms:W3CDTF">2019-09-28T04:46:00Z</dcterms:created>
  <dcterms:modified xsi:type="dcterms:W3CDTF">2019-09-28T04:46:00Z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2058-10.2.0.6020</vt:lpwstr>
  </property>
</Properties>
</file>